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2A" w:rsidRPr="00E27FC6" w:rsidRDefault="00E27FC6" w:rsidP="00E27FC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Қазақстан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Республикасы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Ішкі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істер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министрлігінің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әскери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арнаулы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оқу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орындарында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білім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алушылардың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кәсіптік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практикасын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және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тағылымдамасын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ұйымдастыру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және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одан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өту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</w:rPr>
        <w:t>қағидалары</w:t>
      </w:r>
      <w:proofErr w:type="spellEnd"/>
    </w:p>
    <w:p w:rsidR="00E27FC6" w:rsidRDefault="00E27FC6" w:rsidP="00E27FC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spellStart"/>
      <w:proofErr w:type="gramStart"/>
      <w:r w:rsidRPr="00E27FC6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министрінің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26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қаңтардағы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№ 80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бұйрығы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Республикасының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министрлігінде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жылы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24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ақпанда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№ 13202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болып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</w:rPr>
        <w:t>тіркелді</w:t>
      </w:r>
      <w:proofErr w:type="spellEnd"/>
    </w:p>
    <w:p w:rsidR="00E27FC6" w:rsidRDefault="00E27FC6" w:rsidP="00E27FC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z3"/>
    </w:p>
    <w:p w:rsidR="00E27FC6" w:rsidRDefault="00E27FC6" w:rsidP="00E27FC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«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» 2007 жылғы 27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Республикасыны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ң З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аңы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5-1-бабының 11) тармақшасына сәйкес </w:t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БҰЙЫРАМЫН: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Қоса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берілі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отырған Қа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кәсіптік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практикасын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тағылымдамасын ұйымдастыру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өту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қағидалары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бекітілсін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2.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Кадр ж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ұмыс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департаменті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(А.Ү. Әбдіғалиев):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1) осы бұйрықты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тіркеуді;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2) осы бұйрықты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мерзімді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аспа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басылымдарында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«Әділет» ақпараттық-құқықтық жүйесінде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жариялауға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жолдауды;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3) осы бұйрықты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актілерінің эталондық бақылау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банкіне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үшін «Қазақстан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министрлігінің республикалық құқықтық ақпарат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орталығы» шаруашылық жүргізу құқығындағы республикалық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әсіпорынға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жолдауды;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4) осы бұйрықты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интернет-ресурсында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орналастыруды;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5) осы бұйрықты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он жұмыс күні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осы тармақтың 1), 2), 3) және 4) тармақшаларында көзделген іс-шаралар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орындалуы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мәліметтерді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ің З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аң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департаментіне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ұсынуды қамтамасыз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етсін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3. Осы бұйрықтың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орындалуын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інші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орынбасары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полиция генерал-лейт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енанты М.Ғ.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Демеуовке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жүктелсін.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4. Осы бұйрық алғашқы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жарияланған күнінен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өткеннен соң қолданысқа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енгізіледі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bookmarkEnd w:id="0"/>
    <w:p w:rsidR="00E27FC6" w:rsidRDefault="00E27FC6" w:rsidP="00E27FC6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полиция </w:t>
      </w:r>
      <w:proofErr w:type="spellStart"/>
      <w:r w:rsidRPr="00E27FC6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генерал-полковнигі</w:t>
      </w:r>
      <w:proofErr w:type="spellEnd"/>
      <w:r w:rsidRPr="00E27FC6">
        <w:rPr>
          <w:rFonts w:ascii="Arial" w:hAnsi="Arial" w:cs="Arial"/>
          <w:i/>
          <w:color w:val="000000"/>
          <w:sz w:val="28"/>
          <w:szCs w:val="28"/>
        </w:rPr>
        <w:t>                </w:t>
      </w:r>
      <w:r w:rsidRPr="00E27FC6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Қ. Қасымов</w:t>
      </w:r>
    </w:p>
    <w:p w:rsidR="00E27FC6" w:rsidRDefault="00E27FC6" w:rsidP="00E27FC6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E27FC6" w:rsidSect="00E27FC6">
          <w:pgSz w:w="11907" w:h="16839" w:code="9"/>
          <w:pgMar w:top="567" w:right="567" w:bottom="567" w:left="1134" w:header="720" w:footer="720" w:gutter="0"/>
          <w:cols w:space="720"/>
        </w:sectPr>
      </w:pPr>
      <w:bookmarkStart w:id="1" w:name="z13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050A2A" w:rsidRPr="00E27FC6" w:rsidRDefault="00E27FC6" w:rsidP="00E27FC6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министрінің 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2016 жылғы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26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қаңтардағы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№ 80 бұйрығымен</w:t>
      </w:r>
      <w:r w:rsidRPr="00E27FC6">
        <w:rPr>
          <w:rFonts w:ascii="Arial" w:hAnsi="Arial" w:cs="Arial"/>
          <w:color w:val="000000"/>
          <w:sz w:val="28"/>
          <w:szCs w:val="28"/>
        </w:rPr>
        <w:t>   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бекітілген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>      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E27FC6" w:rsidRDefault="00E27FC6" w:rsidP="00E27FC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14"/>
      <w:bookmarkEnd w:id="1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Қазақстан</w:t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министрлігінің әскери,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орындарында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алушылардың кәсі</w:t>
      </w:r>
      <w:proofErr w:type="gram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практикасын</w:t>
      </w:r>
      <w:proofErr w:type="spellEnd"/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және тағылымдамасын ұйымдастыру және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өту қағ</w:t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идалары 1. </w:t>
      </w:r>
    </w:p>
    <w:p w:rsidR="00E27FC6" w:rsidRDefault="00E27FC6" w:rsidP="00E27FC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Жалпы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ережелер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15"/>
      <w:bookmarkEnd w:id="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1. Осы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кәсіптік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практикасын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тағылымдамасын ұйымдастыру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өту қағидалары (бұдан әрі – Қағидалар) «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» Қ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азақстан Республикасыны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ң З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аңы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5-1-бабының 11) тармақшасына сәйкес әзірленді және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(бұдан ә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 –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кәсіптік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практикасын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дамасын ұйымдастыру және өткізу тәртібін айқындайды.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2.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тағылымдаманың түрлері,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мерзімдері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мазмұны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Үкіметінің 2012 жылғы 23 тамыздағы № 1080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қаулысымен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бекітілген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Жоғары және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жоғары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берудің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жалпыға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міндетті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стандарттарының (бұдан әрі –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БМЖС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талаптарына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сәйкес академиялық күнтізбе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анықталады.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3.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практикалардың және тағылымдамалардың барлық түрлерінің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жалпы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көлемі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6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кредитті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құрайды.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тағылымдамалар көлемі мен еңбек сыйымдылығы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БМЖС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талаптарына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сәйкес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есептеледі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практиканың және тағылымдаманың саны мен ұзақтығын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жұмыс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жоспарларына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сәйкес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дербес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анықтайды.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4.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ік практика жән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е тағылымдаманы ұйымдастыру және өткізу үшін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жауапкершілік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орындарының,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органдарының бастықтарына, ғылыми ұйымдардың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жетекшілеріне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жүктеледі.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5.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Шетел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мемлекеттерінің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азаматтары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болып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табылатын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тағылымдамасы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мемлекеттердің құқық қорғау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органдарында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әскери бөлімдерінде,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мекемелерінде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кәсіпорындарында өткізіледі. 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20"/>
      <w:bookmarkEnd w:id="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2. Әскери оқу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орындарында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кәсі</w:t>
      </w:r>
      <w:proofErr w:type="gram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ік практика мен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тағылымдаманы ұйымдастыру және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өту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21"/>
      <w:bookmarkEnd w:id="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6.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практикасын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тағылымдамасын ұйымдастыру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өту кәсіптік практика мен тағылымдамадан өтуге арналған әдістемелік нұсқауларға (бұдан әрі - әдістемелік нұсқаулар) сәйкес жүзеге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асырылады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7.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Әдістемелік нұсқаулар: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өту жөніндегі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жалпы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ережелерді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;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2) ұйымдастырушылық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іс-шараларды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;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3) әскери бөлім командирлерінің,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басшыларының, сондай-ақ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міндеттерін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;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4) 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кезеңдерін;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5)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жөніндегі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дайындауын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қорғауын;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6) әдістемелік ұсынымдарды;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7)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құжаттаманың үлгілерін қамтиды.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8. Әскери оқу орнының бастығы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тағылымдамаға дайындық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өту жөніндегі жұмысты ұйымдастырады,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бөледі, кәсіптік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 және тағылымдаманың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тағайындайды,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жергілікті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жерлерде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өтуін бақылауды ұйымдастырады.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тағылымдамалар базаларының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жетекшілері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 оқу орнының бастығымен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бірге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тағылымдамадан өту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сап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асына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жауап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береді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9.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тағылымдамадан өту үшін әскери оқу орнының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алушысына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тапсырма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практика және тағылымдама күнделігі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беріледі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10.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базасына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келген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соң, практика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базалары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жетекшілерінің бұйрығымен лауазымға тағайындалады,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алушыларға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тікелей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жетекшілері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айқындалады.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11. Сырқаты және басқа да дәлелді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себептермен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ік практика және тағылымд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амадан өтпеген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үшін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курспен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біруақытта әскери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бастығының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шешімімен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 оқу орнының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қамтамасыз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ету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бөліністерінде ұзақтығы күнтізбелік 15-20 күн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өту қосымша ұйымдастырылады.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12.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ери тәрті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і, күн тәртібін өрескел бұзған жағдайда практика және тағылымдама базаларының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жетекшілері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бастығының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келісімімен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кәсіптік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тағылымдамадан өтуін тоқтатады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жібереді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13.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аяқталған соң әрбір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алушыға оның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базасынан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тікелей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кәсіптік практика және тағылымдамадан өткені,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тапсырманы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орындағаны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жазбаша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сын-пікір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жасай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14.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Сын-пікі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кәсіптік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келісіледі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оны практика және тағылымдама базасының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38"/>
      <w:bookmarkEnd w:id="5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3.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орындарында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кәсі</w:t>
      </w:r>
      <w:proofErr w:type="gram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практиканы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және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тағылымдаманы ұйымдас</w:t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тыру және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одан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өту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39"/>
      <w:bookmarkEnd w:id="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15.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академиялық күнтізбеге, жұмыс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жоспарларына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әдістемелік нұсқауларға сәйкес ұйымдастырылады.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16.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орындарының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сырттай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нысанында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мамандығы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жұ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мыс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жағдайда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тағылымдамадан өтуден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босатылады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жұмыс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анықтама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 бастығы қол қойған, олардың кәсіптік қызметін көрсететін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мінездеме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ұсынады.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Сырттай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нысанының мам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андығы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жұмыс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істемейтін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бастығының бұйрығымен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негізгі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функционалдық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міндеттерін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орындаудан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бос уақытта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практикаға және тағылымдамаға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жіберіледі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17. Кәсіптік практика және тағылымдамаға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беру</w:t>
      </w:r>
      <w:proofErr w:type="spellEnd"/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мерзі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мдерін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базаларын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кәсіптік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жетекшілерін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көрсете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бастығының бұйрығымен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ресімделеді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18.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к практика және тағылымдамаға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жіберер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алдында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органдарына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кәсіптік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тағылымдаманы өткізу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мерзімдері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саны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тағылымдамадан өтетін нақты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лауазымдары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уақтылы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хабарлайды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бастығының бұйрығымен практиканың және тағылымдаманың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ерекшелігіне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сәйкес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кафедраларының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бөліністерінің профессорлық-оқытушылық құрамының тәжірибелі өкілдері қатарынан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жетекшілері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йындалады.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Бітірті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шығаратын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кафедралар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әдістемелік нұсқаулармен, практика және тағылымдама күнделігімен қамтамасыз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етеді.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19. Әдістемелік нұсқауларды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бейінді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кафедралар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дайындайды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кеңестің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отырыстарын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қарайды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ғылыми кеңесінің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шешімімен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бекітеді.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20. Әдістемелік нұсқаулар: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жалпы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ережелерді;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2)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тағылымдаманың оқу, тәрбиелік мақсаттары мен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міндеттерін;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3)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ік практика және тағы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лымдаманың кезеңдерін;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4) ұйымдастырушылық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іс-шараларды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органдары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жетекшілерінің және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жетекшілерінің, сондай-ақ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міндеттері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мен құқықтарын;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5) алдағы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ік практика және тағылым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даманың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бейіні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тапсырмаларды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әдістемелік нұсқауларды,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мерзімдерін;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6)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есебін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дайындау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тәртібі мен қорғау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мерзімдерін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материалдардың мазмұнына қойылатын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талаптарды;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7)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құжаттаманың үлгілерін қамтиды.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21.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практиканың және тағылымдаманың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консультациялар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өткізеді, кәсіптік практика ж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әне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есептерді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тексереді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 және тағылымдаманы қорғауға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жіберу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анықтама әзірлейді, оны кафедра бастығына ұсынады.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22.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практикасын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тағылымдамасын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белгіленген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мерзімде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әдістемелік нұсқауларға сәйкес ұйымдастыруды және өткізуді бақылайды.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23.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органдарының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басшылары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кәсіби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тағылымдамадан өтетін бөліністерін анықтайды, неғұрлым дайындалған, осы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л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ауазымда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3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жыл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жұмыс өтілі бар, жоғары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іскерлік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моральдық қасиеттерге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ие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қызметкерлер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арасынан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практиканың және тағылымдаманы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тікелей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жетекшілерін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бұйрықпен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; осы бұйрықпен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кшілеріне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қызметкерге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үш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адам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),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ол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жоғары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3 жұмыс күні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хабарланады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алушыларға практика және тағылымдамадан өту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кезінде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осы Қағидаларға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1-қ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осымша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ға сәйкес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нысан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нақты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лауазымда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олардың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деттерді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орындауын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растайтын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басын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куәландыратын құжатқа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жапсырмаларды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уақтылы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ресімдеуді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беруді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ұйымдастырады.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бөліні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құрамына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таныстырады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олардың құқықтық жағдайларын,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өз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міндеттерін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орындауы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кезіндегі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 және тағылымдама жетекшілерінің және бөліністің басқа да қызметкерлерінің рөлі мен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түсіндіреді.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ік практика және тағылымдамадан өтуін бақылауды, практика және тағылымдаманы қорытындылауды, практика және тағылымдама нә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тижелерін жинақтауды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талдауды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оны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жетілдіру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ұйғарымдар әзірлеуді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органдарының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басшысы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24.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практикадан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тағылымдаман өтуге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келген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соң,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органының практика және тағылымдам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а базасының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бірлесіп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әдістемелік нұсқаулар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негізінде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жоспар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әзірлейді.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жоспарды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органының практика және тағылымдама базасының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25.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базасынан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тікеле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й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жоспардың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орындалуын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күн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сайын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бақылайды,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алушыға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тағылымдамадан өту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әдістемелік және практикалық көмек көрсетеді,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учаскедегі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объектідегі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аудандағы)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жедел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жағдаймен,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орындалатын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жұмыстың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сипатымен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ерекшеліктерімен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таныстырады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алушының жұмысын тұрақты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бағалауды, оның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құжаттаманы жүргізуін,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іскерлік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қасиеттерін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зерделеуді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кәсіптік практика және тағылымдама аяқталуына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3 жұмыс күні қал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ғанда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ға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мінездеме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жасап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оны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басшысына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бекітуге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ұсынады.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26.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мінездемесінде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жоспарды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сапасы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алушының лауазымдық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міндеттерді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орындауға дайындық деңгейі,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құжаттар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ды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білуі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оларды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жұмыста қолдана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білуі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, жеде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л-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қызметтік құжаттарды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жасау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дағдысының бар-жоғы,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арнайы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техникалық құралдарды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сауатты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білуі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, ұйымдастырушылық қабілетінің бар-жоғы, моральды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ерік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жігері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атқарушылығы, тәртіптілігі,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жалпы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мәдени дам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у деңгейі,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қызметте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пайдалану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ұсынымдар көрсетіледі.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Мінездемеде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 және тағылымдаманың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тікелей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практикаға және тағылымдама үшін баға қояды. 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органынан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практика және тағылымдаманы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ң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жасаған жә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не қол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қойылған құжаттардың шынайылығын және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алушыға қойылған бағаның әділдігін қамтамасыз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етеді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66"/>
      <w:bookmarkEnd w:id="7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4. Кәсі</w:t>
      </w:r>
      <w:proofErr w:type="gram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практиканы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және тағылымдаманы қорытындылау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67"/>
      <w:bookmarkEnd w:id="8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27.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ік практика және тағылымдаманың қорытынды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сы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кафедраға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органының және әскери бөлімнің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берген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мінездемемен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сын-пікір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бірге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ұсынады.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орындарынан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ғайындалған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тексереді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оны комиссия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отырысында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қорғайды.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28. Комиссия құрамына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жетекшісі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бітіртуші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кафе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драның профессорлы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оқытушылар құрамы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кіреді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Сондай-ақ комиссия құрамына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органдарының практикалық бөліністерінің тәжірибелі қызметкерлері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тартылады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Комиссия төрағасы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орындарының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бітіртуші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кафедраларының бастықтары қ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атарынан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сайланады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Комиссияның құрамы 5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адамнан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аспайды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Комиссияның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шешімі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комиссия мүшелерінің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кемінде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үштен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дауысы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болған жағдайда көпшілік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дауыспен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қабылданады.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Дауыс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тең болған жағдайда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29. Практика және тағылымдаманы қорғау 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қорытындысы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осы Қағидаларға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2-қосымшаға сәйкес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нысан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тағылымдаманы қорғау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хаттамасы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толтырылады.</w:t>
      </w:r>
      <w:proofErr w:type="spellEnd"/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30. 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қорытынды баға үлес салмағы қорытынды бағаның 60 % құрайтын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стер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органдарынан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практика және тағылымдама жетекшісінің бағасын және үлес салмағы қорытынды бағаның 40% құрайтын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орнынан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тағайындалған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ұ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сын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ған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қорғау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бағасын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ескере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отыры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қойылады.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қорғау нәтижелері бағалаудың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белгіленген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балдық-рейтингтік әріптік жүйесі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«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» Қазақстан Республикасыны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ң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З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аңына сәйкес бағаланады. </w:t>
      </w:r>
    </w:p>
    <w:p w:rsid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есепті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қорғау қорытындысы қор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ытынды бақылау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ведомосіне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енгізіледі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Кәсі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ік практиканың және тағылымдаманың қорытындысы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 орындарының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тиісті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факультеттерінде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кафедраларында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талқыланады.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Практиканы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және тағылымдаманы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жалпы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қорытындылау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әскери,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оқу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орындарының оқ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кеңесінде жүргізіледі. </w:t>
      </w:r>
    </w:p>
    <w:p w:rsidR="00E27FC6" w:rsidRDefault="00E27FC6" w:rsidP="00E27FC6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E27FC6" w:rsidSect="00E27FC6">
          <w:pgSz w:w="11907" w:h="16839" w:code="9"/>
          <w:pgMar w:top="567" w:right="567" w:bottom="567" w:left="1134" w:header="720" w:footer="720" w:gutter="0"/>
          <w:cols w:space="720"/>
        </w:sectPr>
      </w:pPr>
      <w:bookmarkStart w:id="10" w:name="z1"/>
      <w:bookmarkEnd w:id="9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050A2A" w:rsidRPr="00E27FC6" w:rsidRDefault="00E27FC6" w:rsidP="00E27FC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E27FC6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Қазақстан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4"/>
          <w:szCs w:val="24"/>
        </w:rPr>
        <w:t> 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министрлігінің әскери,</w:t>
      </w:r>
      <w:r w:rsidRPr="00E27FC6">
        <w:rPr>
          <w:rFonts w:ascii="Arial" w:hAnsi="Arial" w:cs="Arial"/>
          <w:color w:val="000000"/>
          <w:sz w:val="24"/>
          <w:szCs w:val="24"/>
        </w:rPr>
        <w:t>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орындарында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4"/>
          <w:szCs w:val="24"/>
        </w:rPr>
        <w:t>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>алушылардың кәсі</w:t>
      </w:r>
      <w:proofErr w:type="gram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практикасын</w:t>
      </w:r>
      <w:proofErr w:type="spellEnd"/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және тағылымдамасын ұйымдастыру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және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өту қағидаларына</w:t>
      </w:r>
      <w:r w:rsidRPr="00E27FC6">
        <w:rPr>
          <w:rFonts w:ascii="Arial" w:hAnsi="Arial" w:cs="Arial"/>
          <w:color w:val="000000"/>
          <w:sz w:val="24"/>
          <w:szCs w:val="24"/>
        </w:rPr>
        <w:t> 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1-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>қосымша</w:t>
      </w:r>
      <w:r w:rsidRPr="00E27FC6">
        <w:rPr>
          <w:rFonts w:ascii="Arial" w:hAnsi="Arial" w:cs="Arial"/>
          <w:color w:val="000000"/>
          <w:sz w:val="24"/>
          <w:szCs w:val="24"/>
        </w:rPr>
        <w:t>          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bookmarkEnd w:id="10"/>
    <w:p w:rsidR="00050A2A" w:rsidRPr="00E27FC6" w:rsidRDefault="00E27FC6" w:rsidP="00E27FC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нысан</w:t>
      </w:r>
      <w:proofErr w:type="spellEnd"/>
    </w:p>
    <w:p w:rsidR="00050A2A" w:rsidRPr="00E27FC6" w:rsidRDefault="00E27FC6" w:rsidP="00E27FC6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>Формат 90*60</w:t>
      </w: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№ __________________________________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басын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куәландыратын құжатқа</w:t>
      </w:r>
    </w:p>
    <w:p w:rsidR="00050A2A" w:rsidRPr="00E27FC6" w:rsidRDefault="00E27FC6" w:rsidP="00E27F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ЖАПСЫРМА</w:t>
      </w:r>
      <w:proofErr w:type="spellEnd"/>
    </w:p>
    <w:p w:rsidR="00050A2A" w:rsidRPr="00E27FC6" w:rsidRDefault="00E27FC6" w:rsidP="00E27F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курсант _____________________________________________________________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</w:rPr>
        <w:t>       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тегі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аты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әкесінің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аты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(болған жағдайда),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атағы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)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 лауазымдағы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</w:rPr>
        <w:t> 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E27FC6">
        <w:rPr>
          <w:rFonts w:ascii="Arial" w:hAnsi="Arial" w:cs="Arial"/>
          <w:color w:val="000000"/>
          <w:sz w:val="20"/>
          <w:szCs w:val="20"/>
          <w:lang w:val="ru-RU"/>
        </w:rPr>
        <w:t>(</w:t>
      </w:r>
      <w:proofErr w:type="spellStart"/>
      <w:r w:rsidRPr="00E27FC6">
        <w:rPr>
          <w:rFonts w:ascii="Arial" w:hAnsi="Arial" w:cs="Arial"/>
          <w:color w:val="000000"/>
          <w:sz w:val="20"/>
          <w:szCs w:val="20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0"/>
          <w:szCs w:val="20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0"/>
          <w:szCs w:val="20"/>
          <w:lang w:val="ru-RU"/>
        </w:rPr>
        <w:t xml:space="preserve"> бө</w:t>
      </w:r>
      <w:proofErr w:type="gramStart"/>
      <w:r w:rsidRPr="00E27FC6">
        <w:rPr>
          <w:rFonts w:ascii="Arial" w:hAnsi="Arial" w:cs="Arial"/>
          <w:color w:val="000000"/>
          <w:sz w:val="20"/>
          <w:szCs w:val="20"/>
          <w:lang w:val="ru-RU"/>
        </w:rPr>
        <w:t>л</w:t>
      </w:r>
      <w:proofErr w:type="gramEnd"/>
      <w:r w:rsidRPr="00E27FC6">
        <w:rPr>
          <w:rFonts w:ascii="Arial" w:hAnsi="Arial" w:cs="Arial"/>
          <w:color w:val="000000"/>
          <w:sz w:val="20"/>
          <w:szCs w:val="20"/>
          <w:lang w:val="ru-RU"/>
        </w:rPr>
        <w:t xml:space="preserve">іністерінің, мекеменің, органның және лауазымның </w:t>
      </w:r>
      <w:proofErr w:type="spellStart"/>
      <w:r w:rsidRPr="00E27FC6">
        <w:rPr>
          <w:rFonts w:ascii="Arial" w:hAnsi="Arial" w:cs="Arial"/>
          <w:color w:val="000000"/>
          <w:sz w:val="20"/>
          <w:szCs w:val="20"/>
          <w:lang w:val="ru-RU"/>
        </w:rPr>
        <w:t>атауы</w:t>
      </w:r>
      <w:proofErr w:type="spellEnd"/>
      <w:r w:rsidRPr="00E27FC6">
        <w:rPr>
          <w:rFonts w:ascii="Arial" w:hAnsi="Arial" w:cs="Arial"/>
          <w:color w:val="000000"/>
          <w:sz w:val="20"/>
          <w:szCs w:val="20"/>
          <w:lang w:val="ru-RU"/>
        </w:rPr>
        <w:t>)</w:t>
      </w:r>
      <w:r w:rsidRPr="00E27FC6">
        <w:rPr>
          <w:rFonts w:ascii="Arial" w:hAnsi="Arial" w:cs="Arial"/>
          <w:sz w:val="20"/>
          <w:szCs w:val="20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практиканты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болып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табылады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ІІД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КІІД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ҚАЖД,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ТЖД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Кадр ж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ұмысы басқармасының бастығы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_________________________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_________________________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(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атағы)</w:t>
      </w:r>
      <w:r w:rsidRPr="00E27FC6">
        <w:rPr>
          <w:rFonts w:ascii="Arial" w:hAnsi="Arial" w:cs="Arial"/>
          <w:color w:val="000000"/>
          <w:sz w:val="28"/>
          <w:szCs w:val="28"/>
        </w:rPr>
        <w:t> 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(қолы)</w:t>
      </w:r>
      <w:r w:rsidRPr="00E27FC6">
        <w:rPr>
          <w:rFonts w:ascii="Arial" w:hAnsi="Arial" w:cs="Arial"/>
          <w:color w:val="000000"/>
          <w:sz w:val="28"/>
          <w:szCs w:val="28"/>
        </w:rPr>
        <w:t>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Тегі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аты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, әкесінің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аты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(болған жағдайда))</w:t>
      </w: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20__ жылғы «_____» ____________ 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куәлікті көрсеткен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кезде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__________________________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_____________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қолы)</w:t>
      </w: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20___ жылғы «______» _________________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дейін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жарамды</w:t>
      </w:r>
      <w:proofErr w:type="spellEnd"/>
    </w:p>
    <w:p w:rsidR="00E27FC6" w:rsidRDefault="00E27FC6" w:rsidP="00E27FC6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E27FC6" w:rsidSect="00E27FC6">
          <w:pgSz w:w="11907" w:h="16839" w:code="9"/>
          <w:pgMar w:top="567" w:right="567" w:bottom="567" w:left="1134" w:header="720" w:footer="720" w:gutter="0"/>
          <w:cols w:space="720"/>
        </w:sectPr>
      </w:pPr>
      <w:bookmarkStart w:id="11" w:name="z2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050A2A" w:rsidRPr="00E27FC6" w:rsidRDefault="00E27FC6" w:rsidP="00E27FC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>Қазақстан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Ішкі</w:t>
      </w:r>
      <w:proofErr w:type="spellEnd"/>
      <w:r w:rsidRPr="00E27FC6">
        <w:rPr>
          <w:rFonts w:ascii="Arial" w:hAnsi="Arial" w:cs="Arial"/>
          <w:color w:val="000000"/>
          <w:sz w:val="24"/>
          <w:szCs w:val="24"/>
        </w:rPr>
        <w:t> 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министрлігінің әскери,</w:t>
      </w:r>
      <w:r w:rsidRPr="00E27FC6">
        <w:rPr>
          <w:rFonts w:ascii="Arial" w:hAnsi="Arial" w:cs="Arial"/>
          <w:color w:val="000000"/>
          <w:sz w:val="24"/>
          <w:szCs w:val="24"/>
        </w:rPr>
        <w:t>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арнаулы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оқу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орындарында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білім</w:t>
      </w:r>
      <w:proofErr w:type="spellEnd"/>
      <w:r w:rsidRPr="00E27FC6">
        <w:rPr>
          <w:rFonts w:ascii="Arial" w:hAnsi="Arial" w:cs="Arial"/>
          <w:color w:val="000000"/>
          <w:sz w:val="24"/>
          <w:szCs w:val="24"/>
        </w:rPr>
        <w:t>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>алушылардың кәсі</w:t>
      </w:r>
      <w:proofErr w:type="gram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пт</w:t>
      </w:r>
      <w:proofErr w:type="gram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ік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практикас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>ын</w:t>
      </w:r>
      <w:proofErr w:type="spellEnd"/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және тағылымдамасын ұйымдастыру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және </w:t>
      </w: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одан</w:t>
      </w:r>
      <w:proofErr w:type="spellEnd"/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өту қағидаларына</w:t>
      </w:r>
      <w:r w:rsidRPr="00E27FC6">
        <w:rPr>
          <w:rFonts w:ascii="Arial" w:hAnsi="Arial" w:cs="Arial"/>
          <w:color w:val="000000"/>
          <w:sz w:val="24"/>
          <w:szCs w:val="24"/>
        </w:rPr>
        <w:t> 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27FC6">
        <w:rPr>
          <w:rFonts w:ascii="Arial" w:hAnsi="Arial" w:cs="Arial"/>
          <w:sz w:val="24"/>
          <w:szCs w:val="24"/>
          <w:lang w:val="ru-RU"/>
        </w:rPr>
        <w:br/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2-қосымша</w:t>
      </w:r>
      <w:r w:rsidRPr="00E27FC6">
        <w:rPr>
          <w:rFonts w:ascii="Arial" w:hAnsi="Arial" w:cs="Arial"/>
          <w:color w:val="000000"/>
          <w:sz w:val="24"/>
          <w:szCs w:val="24"/>
        </w:rPr>
        <w:t>            </w:t>
      </w:r>
      <w:r w:rsidRPr="00E27FC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bookmarkEnd w:id="11"/>
    <w:p w:rsidR="00050A2A" w:rsidRPr="00E27FC6" w:rsidRDefault="00E27FC6" w:rsidP="00E27FC6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  <w:proofErr w:type="spellStart"/>
      <w:r w:rsidRPr="00E27FC6">
        <w:rPr>
          <w:rFonts w:ascii="Arial" w:hAnsi="Arial" w:cs="Arial"/>
          <w:color w:val="000000"/>
          <w:sz w:val="24"/>
          <w:szCs w:val="24"/>
          <w:lang w:val="ru-RU"/>
        </w:rPr>
        <w:t>нысан</w:t>
      </w:r>
      <w:proofErr w:type="spellEnd"/>
    </w:p>
    <w:p w:rsidR="00E27FC6" w:rsidRDefault="00E27FC6" w:rsidP="00E27FC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E27FC6" w:rsidRDefault="00E27FC6" w:rsidP="00E27FC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050A2A" w:rsidRPr="00E27FC6" w:rsidRDefault="00E27FC6" w:rsidP="00E27F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Кәсіптік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практиканы</w:t>
      </w:r>
      <w:proofErr w:type="spellEnd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және тағылымдаманы қорғау </w:t>
      </w:r>
      <w:proofErr w:type="spellStart"/>
      <w:r w:rsidRPr="00E27FC6">
        <w:rPr>
          <w:rFonts w:ascii="Arial" w:hAnsi="Arial" w:cs="Arial"/>
          <w:b/>
          <w:color w:val="000000"/>
          <w:sz w:val="28"/>
          <w:szCs w:val="28"/>
          <w:lang w:val="ru-RU"/>
        </w:rPr>
        <w:t>хаттамасы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2"/>
        <w:gridCol w:w="1838"/>
        <w:gridCol w:w="2536"/>
        <w:gridCol w:w="2390"/>
        <w:gridCol w:w="2895"/>
      </w:tblGrid>
      <w:tr w:rsidR="00050A2A" w:rsidRPr="00E27FC6">
        <w:trPr>
          <w:trHeight w:val="1740"/>
          <w:tblCellSpacing w:w="0" w:type="auto"/>
        </w:trPr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Білім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алушының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тегі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аты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әкесінің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аты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болған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жағдайда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FC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Практика және тағылымдамадан өту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орны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лауазымы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Практика және тағылымдама жетекші</w:t>
            </w:r>
            <w:proofErr w:type="gram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ің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тегі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әкесінің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(болған жағдайда) және </w:t>
            </w: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лауазымы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Практиканы</w:t>
            </w:r>
            <w:proofErr w:type="spellEnd"/>
            <w:r w:rsidRPr="00E27FC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тағылымдаманы қорғау нәтижелері</w:t>
            </w:r>
          </w:p>
        </w:tc>
      </w:tr>
      <w:tr w:rsidR="00050A2A" w:rsidRPr="00E27FC6">
        <w:trPr>
          <w:trHeight w:val="345"/>
          <w:tblCellSpacing w:w="0" w:type="auto"/>
        </w:trPr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4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050A2A" w:rsidRPr="00E27FC6">
        <w:trPr>
          <w:trHeight w:val="345"/>
          <w:tblCellSpacing w:w="0" w:type="auto"/>
        </w:trPr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4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A2A" w:rsidRPr="00E27FC6" w:rsidRDefault="00E27FC6" w:rsidP="00E27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FC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</w:tbl>
    <w:p w:rsidR="00E27FC6" w:rsidRDefault="00E27FC6" w:rsidP="00E27FC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27FC6" w:rsidRDefault="00E27FC6" w:rsidP="00E27FC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27FC6" w:rsidRDefault="00E27FC6" w:rsidP="00E27FC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Комиссия төрағасы: 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</w:p>
    <w:p w:rsidR="00E27FC6" w:rsidRDefault="00E27FC6" w:rsidP="00E27FC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Практика және тағылымдама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жетекші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с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: ____________________</w:t>
      </w:r>
      <w:r w:rsidRPr="00E27FC6">
        <w:rPr>
          <w:rFonts w:ascii="Arial" w:hAnsi="Arial" w:cs="Arial"/>
          <w:sz w:val="28"/>
          <w:szCs w:val="28"/>
          <w:lang w:val="ru-RU"/>
        </w:rPr>
        <w:br/>
      </w: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Комиссия 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үшелері: ______________________________________</w:t>
      </w:r>
    </w:p>
    <w:p w:rsidR="00050A2A" w:rsidRPr="00E27FC6" w:rsidRDefault="00E27FC6" w:rsidP="00E27F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sz w:val="28"/>
          <w:szCs w:val="28"/>
          <w:lang w:val="ru-RU"/>
        </w:rPr>
        <w:br/>
      </w:r>
      <w:r w:rsidRPr="00E27FC6">
        <w:rPr>
          <w:rFonts w:ascii="Arial" w:hAnsi="Arial" w:cs="Arial"/>
          <w:sz w:val="28"/>
          <w:szCs w:val="28"/>
          <w:lang w:val="ru-RU"/>
        </w:rPr>
        <w:br/>
      </w:r>
    </w:p>
    <w:p w:rsidR="00050A2A" w:rsidRPr="00E27FC6" w:rsidRDefault="00E27FC6" w:rsidP="00E27FC6">
      <w:pPr>
        <w:pStyle w:val="disclaimer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© 2012. Қазақстан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министрлігінің "Республикалық құқық</w:t>
      </w:r>
      <w:proofErr w:type="gram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ты</w:t>
      </w:r>
      <w:proofErr w:type="gramEnd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қ ақпарат орталығы" ШЖҚ</w:t>
      </w:r>
      <w:r w:rsidRPr="00E27FC6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27FC6">
        <w:rPr>
          <w:rFonts w:ascii="Arial" w:hAnsi="Arial" w:cs="Arial"/>
          <w:color w:val="000000"/>
          <w:sz w:val="28"/>
          <w:szCs w:val="28"/>
          <w:lang w:val="ru-RU"/>
        </w:rPr>
        <w:t>РМК</w:t>
      </w:r>
      <w:proofErr w:type="spellEnd"/>
    </w:p>
    <w:sectPr w:rsidR="00050A2A" w:rsidRPr="00E27FC6" w:rsidSect="00E27FC6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50A2A"/>
    <w:rsid w:val="00050A2A"/>
    <w:rsid w:val="00E2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50A2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50A2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0A2A"/>
    <w:pPr>
      <w:jc w:val="center"/>
    </w:pPr>
    <w:rPr>
      <w:sz w:val="18"/>
      <w:szCs w:val="18"/>
    </w:rPr>
  </w:style>
  <w:style w:type="paragraph" w:customStyle="1" w:styleId="DocDefaults">
    <w:name w:val="DocDefaults"/>
    <w:rsid w:val="00050A2A"/>
  </w:style>
  <w:style w:type="paragraph" w:styleId="ae">
    <w:name w:val="Balloon Text"/>
    <w:basedOn w:val="a"/>
    <w:link w:val="af"/>
    <w:uiPriority w:val="99"/>
    <w:semiHidden/>
    <w:unhideWhenUsed/>
    <w:rsid w:val="00E2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7F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E27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2557</Words>
  <Characters>14579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2020-05-23T04:44:00Z</dcterms:created>
  <dcterms:modified xsi:type="dcterms:W3CDTF">2020-05-23T04:52:00Z</dcterms:modified>
</cp:coreProperties>
</file>